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та достовірність Інформації, що розкрита відповідно до вимог Положення про розкриття інформації емітентами цінних паперів. 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0"/>
        <w:gridCol w:w="659"/>
        <w:gridCol w:w="3007"/>
        <w:gridCol w:w="659"/>
        <w:gridCol w:w="3750"/>
      </w:tblGrid>
      <w:tr w:rsidR="00BE1597" w:rsidTr="00BE1597"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Сергiй Валерiйович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BE1597" w:rsidTr="00BE1597">
        <w:tc>
          <w:tcPr>
            <w:tcW w:w="0" w:type="auto"/>
            <w:gridSpan w:val="4"/>
            <w:vMerge w:val="restart"/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23.04.2018</w:t>
            </w:r>
          </w:p>
        </w:tc>
      </w:tr>
      <w:tr w:rsidR="00BE1597" w:rsidTr="00BE1597">
        <w:tc>
          <w:tcPr>
            <w:tcW w:w="0" w:type="auto"/>
            <w:gridSpan w:val="4"/>
            <w:vMerge/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2017 рік </w:t>
      </w: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відповідальністю 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Закарпатська , дн, 89600, м.Мукачево, вул.Валенберга,36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(03131)54438 (03131)54438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rusinia@ keeper.ua</w:t>
            </w:r>
          </w:p>
        </w:tc>
      </w:tr>
    </w:tbl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97"/>
        <w:gridCol w:w="1228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67"/>
        <w:gridCol w:w="5168"/>
        <w:gridCol w:w="181"/>
        <w:gridCol w:w="1209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Бюлетень "Вiдомостi НКЦПФР " №77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5"/>
        <w:gridCol w:w="1880"/>
        <w:gridCol w:w="1950"/>
        <w:gridCol w:w="1200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http://rusinia.in.ua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b w:val="0"/>
          <w:bCs w:val="0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31"/>
        <w:gridCol w:w="294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Основні відомості про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Інформація про рейтингове агентство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Інформація про посадових осіб емітента: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Інформація про дивіденди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 Відомості про цінні папери емітента: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випуски акцій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облігації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похідні цінні папери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викуп (продаж раніше викуплених товариством акцій) власних акцій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 Опис бізнесу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зобов'язання та забезпечення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інформація про прийняття рішення про надання згоди на вчинення значних правочинів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18. Інформація про випуски іпотечних облігацій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 Основні відомості про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 Правила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 Текст аудиторського висновку (звіту)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Річна фінансова звітність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 Річна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 Примітки</w:t>
            </w:r>
            <w:r>
              <w:rPr>
                <w:rFonts w:eastAsia="Times New Roman"/>
                <w:color w:val="000000"/>
              </w:rPr>
              <w:br/>
              <w:t>1 Товариство не входить до будь яких об"єднань пiдприємств.</w:t>
            </w:r>
            <w:r>
              <w:rPr>
                <w:rFonts w:eastAsia="Times New Roman"/>
                <w:color w:val="000000"/>
              </w:rPr>
              <w:br/>
              <w:t>2 Послугами рейтингового агенства Товариство не користувалося, .</w:t>
            </w:r>
            <w:r>
              <w:rPr>
                <w:rFonts w:eastAsia="Times New Roman"/>
                <w:color w:val="000000"/>
              </w:rPr>
              <w:br/>
              <w:t xml:space="preserve">3.Дивiденди у звiтному роцi не нараховувалися та не виплачувалися. </w:t>
            </w:r>
            <w:r>
              <w:rPr>
                <w:rFonts w:eastAsia="Times New Roman"/>
                <w:color w:val="000000"/>
              </w:rPr>
              <w:br/>
              <w:t>4.Послугами третiх осiб пiдприємство не користувалося, в створеннi юридичних осiб –участi не приймав</w:t>
            </w:r>
            <w:r>
              <w:rPr>
                <w:rFonts w:eastAsia="Times New Roman"/>
                <w:color w:val="000000"/>
              </w:rPr>
              <w:br/>
              <w:t xml:space="preserve">5.Товариство не здiйснював емiсiю акцiй, дисконтних, цiльових (безпроцентних) облiгацiй, похiдних та iнших цiнних паперiв, сертифiкатiв ФОН та не має зобов'язань за цими цiнними паперами та фiнансовими iнвестицiями в корпоративнi права. </w:t>
            </w:r>
            <w:r>
              <w:rPr>
                <w:rFonts w:eastAsia="Times New Roman"/>
                <w:color w:val="000000"/>
              </w:rPr>
              <w:br/>
              <w:t>6.Звiт про стан об'єкта нерухомостi:</w:t>
            </w:r>
            <w:r>
              <w:rPr>
                <w:rFonts w:eastAsia="Times New Roman"/>
                <w:color w:val="000000"/>
              </w:rPr>
              <w:br/>
              <w:t xml:space="preserve">(не випускались цiльовi облiгацiї, виконання зобов'язань за якими забезпечене об'єктами </w:t>
            </w:r>
            <w:r>
              <w:rPr>
                <w:rFonts w:eastAsia="Times New Roman"/>
                <w:color w:val="000000"/>
              </w:rPr>
              <w:lastRenderedPageBreak/>
              <w:t>нерухомостi).</w:t>
            </w:r>
            <w:r>
              <w:rPr>
                <w:rFonts w:eastAsia="Times New Roman"/>
                <w:color w:val="000000"/>
              </w:rPr>
              <w:br/>
              <w:t>7.Товариство не веде дiяльностi, що класифiкується як переробна, добувна промисловiсть або виробництво та розподiлення електроенергiї, газу та води за класифiкатором видiв економiчної дiяльностi.</w:t>
            </w:r>
            <w:r>
              <w:rPr>
                <w:rFonts w:eastAsia="Times New Roman"/>
                <w:color w:val="000000"/>
              </w:rPr>
              <w:br/>
              <w:t>8. У товариства вiдсутнiй корпоративний секретар.</w:t>
            </w:r>
            <w:r>
              <w:rPr>
                <w:rFonts w:eastAsia="Times New Roman"/>
                <w:color w:val="000000"/>
              </w:rPr>
              <w:br/>
              <w:t>9.Термiн дiї лiцензiї "Видобування глини" закiнчено.</w:t>
            </w:r>
            <w:r>
              <w:rPr>
                <w:rFonts w:eastAsia="Times New Roman"/>
                <w:color w:val="000000"/>
              </w:rPr>
              <w:br/>
              <w:t>10.Правочини у звiтньому роцi не затверджувались, особлива iнформацiя не виникала.</w:t>
            </w:r>
            <w:r>
              <w:rPr>
                <w:rFonts w:eastAsia="Times New Roman"/>
                <w:color w:val="000000"/>
              </w:rPr>
              <w:br/>
              <w:t>Вiдомостi про аудитоський висновок за звiтний перiод вiдсутнi на пiдставi ст.40 ЗУ "Про цiннi папери та фондовий ринок" та ст.14 ЗУ "Про бухгалтерський облiк та фiнансову звiтнiсть"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b w:val="0"/>
          <w:bCs w:val="0"/>
          <w:color w:val="000000"/>
        </w:rPr>
        <w:lastRenderedPageBreak/>
        <w:br w:type="page"/>
      </w:r>
      <w:r>
        <w:rPr>
          <w:rFonts w:eastAsia="Times New Roman"/>
          <w:color w:val="000000"/>
        </w:rPr>
        <w:lastRenderedPageBreak/>
        <w:t>III. Основні відомості про емітента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Серія і номер свідоцтва про державну реєстрацію юридичної особи (за наявності)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ААБ № 708757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Дата проведення державної реєстрації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18.07.2005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Територія (область)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Закарпатська 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Статутний капітал (грн)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18000000.00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Відсоток акцій у статутному капіталі, що належить державі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Середня кількість працівників (осіб)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Основні види діяльності із зазначенням найменування виду діяльності та коду за КВЕД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23.32 Виробництво цегли, черепицi та iнших будiвельних виробiв iз випаленої глини 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68.20 Надання в оренду й експлуатацiю власного чи орендованого нерухомого майна 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08.12 Видобування пiску, гравiю, глини i каолiну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Органи управління підприємства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Вищий орган управлiння товариства - Загальнi Збори Учасникiв. Вонi складаються з Учасникiв чи їх представникiв. До складу Зборiв може бути включений з правом дорадчого голосу Генерального Директоа Товариства. Учасники мають кiлькiсть голосiв, пропорцiйну розмiру їх часток у статутному капiталi. До винятковоЇ компетенцiї Зборiв надлежить: -визначення основних напрямкiв дiяльностi Товариства, затвердження його планiв i звiтiв про їх виконання; -внесення змiн до статуту, змiна розмiру статутного капiталу; -визначення умов оплатi труда посадових осiб Товариства; -затвердження рiчних резельтатiв дiяльнiстi Товариства и др. Виконавчий орган товариства - Генеральний Директор. Генеральний Директор призначається безстроково та звiльняється з посади Загальними Зборами Учасникiв Товариства. До компетенцiї Виконавчого органу Товариства вiднесено здiйснення наступних повноважень: -затвердження поточних планiв дiяльностi Товариства i заходiв, необхiдних для їх здiйснення; -затвердження щорiчного кошторису, штатного розкладу i посадовiх окладiв працiвникiв Товариства, встановлення показникiв, розмiрiв i термiнiв премiювання; -встановлення цiн i тарифiв за послуги, що надаються Товариством; -прийняття рiшення про дату i мiсце скликання Загальних Зборiв Учасникiв Товариства та др.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Банки, що обслуговують емітента: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найменування банку (філії, відділення банку), який обслуговує емітента за поточним рахунком у національній валюті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АТ "ОТП Банк"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МФО банку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поточний рахунок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найменування банку (філії, відділення банку), який обслуговує емітента за поточним рахунком у іноземній валюті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АТ "ОТП Банк"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МФО банку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поточний рахунок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</w:tbl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V. Інформація про посадових осіб емітента</w:t>
      </w:r>
    </w:p>
    <w:p w:rsidR="00BE1597" w:rsidRDefault="00BE1597" w:rsidP="00BE159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Інформація щодо освіти та стажу роботи посадових осіб емітента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Сергiй Валерiйович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ідентифікаційний код юридичної особи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1962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з питань виробництва ТОВ "Русинiя", м. Мукачеве, заступник директора ТОВ «Закарпатпродгруп»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23.05.2010 на невизначений термiн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  <w:t xml:space="preserve">Роботою Товариства керує Генеральний директор, Генеральний директор: а) представляє без довiреностi Товариство у вiдносинах зi всiма без винятку державними органами, пiдприємствами, установами, органiзацiями всiх форм власностi, у вiдносинах з фiзичними особами; б) здiйснює оперативне керiвництво поточною дiяльнiстю Товариства в межах повноважень та прав, наданих йому цим Статутом та внутрiшнiми документами Товариства; в) укладає та пiдписує вiд iменi Товариства господарськi та iншi договори, виступає розпорядником його коштiв та майна, видає </w:t>
            </w:r>
            <w:r>
              <w:rPr>
                <w:rFonts w:eastAsia="Times New Roman"/>
                <w:color w:val="000000"/>
              </w:rPr>
              <w:lastRenderedPageBreak/>
              <w:t>довiреностi на право вчинення дiй i представництво вiд iменi Товариства, з урахуванням обмежень викладених в цьому Статутi; т.д.</w:t>
            </w:r>
            <w:r>
              <w:rPr>
                <w:rFonts w:eastAsia="Times New Roman"/>
                <w:color w:val="000000"/>
              </w:rPr>
              <w:br/>
              <w:t>Попереднi посади: директор з питань виробництва ТОВ "Русинiя", м. Мукачеве, заступник директора ТОВ "Закарпатпродгруп"</w:t>
            </w:r>
            <w:r>
              <w:rPr>
                <w:rFonts w:eastAsia="Times New Roman"/>
                <w:color w:val="000000"/>
              </w:rPr>
              <w:br/>
              <w:t xml:space="preserve">Посадова особа отримувала вiд Товариства винагороду у виглядi заробiтної плати у розмiрi вiдповiдно до штатного розпису i не надала згоди на розголошення отриманої заробiтної плати. </w:t>
            </w:r>
            <w:r>
              <w:rPr>
                <w:rFonts w:eastAsia="Times New Roman"/>
                <w:color w:val="000000"/>
              </w:rPr>
              <w:br/>
              <w:t>Iнших посад на будь-яких пiдприємствах не займає.</w:t>
            </w:r>
            <w:r>
              <w:rPr>
                <w:rFonts w:eastAsia="Times New Roman"/>
                <w:color w:val="000000"/>
              </w:rPr>
              <w:br/>
              <w:t>Неогашеної судимостi за корисливi чи посадовi злочини зазначена особа не має, до адмiнiстративної вiдповiдальностi не притягався.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* Якщо інформація розкривається стосовно членів наглядової ради, додатково зазначається, чи є посадова особа акціонером, представником акціонера, представником групи акціонерів, незалежним директором.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Головний бухгалтер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Богдан Богданович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ідентифікаційний код юридичної особи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1977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"Закарпатпродгруп", заступник головного бухгалтера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03.12.2009 не невизначений термiн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  <w:t xml:space="preserve">Змiн в персональному складi посадової особи в звiтному роцi не було. </w:t>
            </w:r>
            <w:r>
              <w:rPr>
                <w:rFonts w:eastAsia="Times New Roman"/>
                <w:color w:val="000000"/>
              </w:rPr>
              <w:br/>
              <w:t xml:space="preserve">Повноваження та обов'язки головного бухгалтера згiдно з посадовою iнструкцiєю: </w:t>
            </w:r>
            <w:r>
              <w:rPr>
                <w:rFonts w:eastAsia="Times New Roman"/>
                <w:color w:val="000000"/>
              </w:rPr>
              <w:br/>
              <w:t xml:space="preserve">1) забезпечення ведення бухгалтерського облiку, дотримуючись єдиних методологiчних принципiв, встановлених Законом України "Про бухгалтерський облiк та фiнансову звiтнiсть в Українi"; </w:t>
            </w:r>
            <w:r>
              <w:rPr>
                <w:rFonts w:eastAsia="Times New Roman"/>
                <w:color w:val="000000"/>
              </w:rPr>
              <w:br/>
              <w:t xml:space="preserve">2) забезпечення ведення податкового облiку у вiдповiдностi з вимогами Законiв України; 3) органiзацiя контролю за вiдображенням на рахунках бухгалтерського облiку всiх господарських операцiй; </w:t>
            </w:r>
            <w:r>
              <w:rPr>
                <w:rFonts w:eastAsia="Times New Roman"/>
                <w:color w:val="000000"/>
              </w:rPr>
              <w:br/>
              <w:t xml:space="preserve">4) забезпечення складання на основi даних бухгалтерського облiку фiнансової звiтностi пiдприємства, її пiдписання i надання користувачам. </w:t>
            </w:r>
            <w:r>
              <w:rPr>
                <w:rFonts w:eastAsia="Times New Roman"/>
                <w:color w:val="000000"/>
              </w:rPr>
              <w:br/>
              <w:t xml:space="preserve">Посадова особа отримувала вiд Товариства винагороду у виглядi заробiтної плати у розмiрi вiдповiдно до штатного розпису i не надала згоди на розголошення отриманої заробiтної плати. </w:t>
            </w:r>
            <w:r>
              <w:rPr>
                <w:rFonts w:eastAsia="Times New Roman"/>
                <w:color w:val="000000"/>
              </w:rPr>
              <w:br/>
              <w:t>Протягом своєї дiяльностi обiймав посади: бухгалтер ТОВ "Партнер", ТОВ "Закарпатпродгруп"- заступник головного бухгалтера</w:t>
            </w:r>
            <w:r>
              <w:rPr>
                <w:rFonts w:eastAsia="Times New Roman"/>
                <w:color w:val="000000"/>
              </w:rPr>
              <w:br/>
              <w:t xml:space="preserve">На iнших пiдприємствах посад протягом 2017 року не обiймав. </w:t>
            </w:r>
            <w:r>
              <w:rPr>
                <w:rFonts w:eastAsia="Times New Roman"/>
                <w:color w:val="000000"/>
              </w:rPr>
              <w:br/>
              <w:t xml:space="preserve">Неогашеної судимостi за корисливi чи посадовi злочини зазначена особа не має, до </w:t>
            </w:r>
            <w:r>
              <w:rPr>
                <w:rFonts w:eastAsia="Times New Roman"/>
                <w:color w:val="000000"/>
              </w:rPr>
              <w:lastRenderedPageBreak/>
              <w:t>адмiнiстративної вiдповiдальностi не притягався.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* Якщо інформація розкривається стосовно членів наглядової ради, додатково зазначається, чи є посадова особа акціонером, представником акціонера, представником групи акціонерів, незалежним директором.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  <w:sectPr w:rsidR="00BE1597">
          <w:pgSz w:w="11907" w:h="16840"/>
          <w:pgMar w:top="1134" w:right="851" w:bottom="851" w:left="851" w:header="0" w:footer="0" w:gutter="0"/>
          <w:cols w:space="720"/>
        </w:sect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X. Відомості про цінні папери емітента</w:t>
      </w:r>
    </w:p>
    <w:p w:rsidR="00BE1597" w:rsidRDefault="00BE1597" w:rsidP="00BE159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про облігації емітента (для кожного непогашеного випуску облігацій)</w:t>
      </w:r>
    </w:p>
    <w:p w:rsidR="00BE1597" w:rsidRDefault="00BE1597" w:rsidP="00BE1597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 процентні облігації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2"/>
        <w:gridCol w:w="1289"/>
        <w:gridCol w:w="1652"/>
        <w:gridCol w:w="1294"/>
        <w:gridCol w:w="1098"/>
        <w:gridCol w:w="1670"/>
        <w:gridCol w:w="1394"/>
        <w:gridCol w:w="1395"/>
        <w:gridCol w:w="1400"/>
        <w:gridCol w:w="1547"/>
        <w:gridCol w:w="1204"/>
      </w:tblGrid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Номінальна вартість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у випуску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Процентна ставка за облігаціями (у відсотках)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Термін виплати процентів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Сума виплаченого процентного доходу у звітному періоді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 облігацій</w:t>
            </w:r>
          </w:p>
        </w:tc>
      </w:tr>
      <w:tr w:rsidR="00BE1597" w:rsidTr="00BE159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124/2/09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НККЦПФР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Бездокументарні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щоквартально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15.05.2019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Свiдоцтво про реєстрацiю випуску облiгацiй пiдприємству видано 12 листопада 2014 року НКЦПФР.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Мета емiсiї облiгацiй: 100% коштiв, залучених вiд емiсiї облiгацiй, будуть використанi будiвництво об'єктiв комерцiйної нерухомостi, будiвництво цегельного заводу, придбання сучасної навантажувально-розвантажувальної технiки, будiвництво лiкувально-оздоровчих комплексiв Джерелом погашення облiгацiй i виплати доходiв по облiгацiям є кошти емiтента, отриманi вiд господарської дiяльностi пiсля розрахункiв з бюджетом i сплати iнших обов''язкових платежiв.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Кошти, залученi вiд розмiщення облiгацiй, не будуть використанi для формування i поповнення статутного капiталу емiтента, а також не будуть використанi для покриття збиткiв, пов''язаних з господарською дiяльнiстю емiтента. Першими та подальшими власниками облiгацiй можуть бути юридичнi особи -учасники закритого (приватного) розмiщення, коло яких зазделегiдь визначено у рiшеннi про розмiщення облiгацiй.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Закрите (приватне) розмiщення починається 15.05.2009 р. i закiнчується 14.07.2009 р.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Розмiщення облiгацiй здiйснювалось за письмовими заявками на придбання облiгацiй з наступним укладанням договору купiвлi-продажу. Розмiщення облiгацiй здiйснювалось емiтентом самостiйно за його адресою: 89600, Закарпатська обл., м. Мукачеве, вул. Пушкiна, 14-А Розмiщення облiгацiй вважається таким, що вiдбулось, у випадку розмiщення будь-якої кiлькостi облiгацiй. Станом на 25.06.2009 р. запланований обсяг закритого (приватного) розмiщення облiгацiй Товариства повнiстю вичерпаний.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Облiгацiї випуску (серiя А) емiтента не проходили лiстингу на жоднiй бiржi у зв''язку з закритою формою розмiщення.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Готуються документи до НКЦПФР на скасування реєстрацiї випуску по облiгацiям.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Зобовязання по облiгацiям погашено: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дата винекнення :13.04.2009р., непогашена частина боргу"0", вiдсотокок користування коштами (вiдсоток рiчних) 15000000, дата погашення 06.09.2016р. </w:t>
            </w:r>
          </w:p>
        </w:tc>
      </w:tr>
      <w:tr w:rsidR="00BE1597" w:rsidTr="00BE159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  <w:sectPr w:rsidR="00BE1597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XII. Інформація про господарську та фінансову діяльність емітента</w:t>
      </w:r>
    </w:p>
    <w:p w:rsidR="00BE1597" w:rsidRDefault="00BE1597" w:rsidP="00BE159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Інформація про основні засоби емітента (за залишковою вартістю)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0"/>
        <w:gridCol w:w="1445"/>
        <w:gridCol w:w="1330"/>
        <w:gridCol w:w="1445"/>
        <w:gridCol w:w="1330"/>
        <w:gridCol w:w="1445"/>
        <w:gridCol w:w="1330"/>
      </w:tblGrid>
      <w:tr w:rsidR="00BE1597" w:rsidTr="00BE15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Власні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Орендовані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Основні засоби, всього (тис. грн.)</w:t>
            </w:r>
          </w:p>
        </w:tc>
      </w:tr>
      <w:tr w:rsidR="00BE1597" w:rsidTr="00BE15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349395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349395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247246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247246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89340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3631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349395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349395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Обмежень на використання майна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Станом на 31.12.2017 року згiдно з даними бухгалтерського облiку на балансi товариства облiковувалися основнi засоби, Залишкова вартiсть основних засобiв 349395 тис.грн.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Середнiй рiвень зносу становить 37.88 вiдсоткiв.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 тому числi процент зносу по будiвлям i спорудам 29.4 % , транспортним засобам 34%, машини та обладнання 57.58%, iншi 52.8%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Всi власнi виробничi основнi засоби знаходяться за мiсцем розташування пiдприємства 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Причин якi можуть позначитись на використаннi активiв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Пiдприємство не планує проводити капiтальне будiвництво i розширення або удосконалення основних засобiв в наступному роцi.</w:t>
            </w:r>
          </w:p>
        </w:tc>
      </w:tr>
    </w:tbl>
    <w:p w:rsidR="00BE1597" w:rsidRDefault="00BE1597" w:rsidP="00BE159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щодо вартості чистих активів емітента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8"/>
        <w:gridCol w:w="3717"/>
        <w:gridCol w:w="4550"/>
      </w:tblGrid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попередній період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Розрахункова вартість чистих активів (тис. грн)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112029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Статутний капітал (тис. грн.)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Скоригований статутний капітал (тис. грн)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Розрахунок чистих активiв за звiтний та попереднiй перiоди здiйснено згiдно з Методичними рекомендацiями щодо визначення вартостi чистих активiв акцiонерного товариства, схвалених рiшенням ДКЦПФР вiд 17.11.2004 р. № 485. Розрахунок проведено за даними Балансу: розрахункова вартiсть чистих активiв - рiзниця рядкiв 280, 430, 480, 620 та 630; статутний капiтал - рядок 300; скоригований статутний капiтал - рiзниця рядкiв 300, 360 та 370.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Висновок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Розрахункова вартiсть чистих активiв перевищує статутний капiтал . Розрахункова вартiсть чистих активiв перевищує скоригований статутний капiтал. Вимоги частини третьої статтi 155 Цивiльного кодексу України дотриманi. Зменшення статутного капiталу не вимагається.</w:t>
            </w:r>
          </w:p>
        </w:tc>
      </w:tr>
    </w:tbl>
    <w:p w:rsidR="00BE1597" w:rsidRDefault="00BE1597" w:rsidP="00BE159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Інформація про зобов'язання та забезпечення емітента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5"/>
        <w:gridCol w:w="1480"/>
        <w:gridCol w:w="2030"/>
        <w:gridCol w:w="2578"/>
        <w:gridCol w:w="1362"/>
      </w:tblGrid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виникнення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Непогашена частина боргу (тис. грн.)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облігаціями (за кожним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іншими цінними паперами (у тому числі за похідними цінними паперами)(за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зобов’язання та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 зобов’язань та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Джерелом погашення облiгацiй i виплати доходiв по облiгацiям є кошти емiтента, отриманi вiд господарської дiяльностi пiсля розрахункiв з бюджетом i сплати iнших обов''язкових платежiв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Зобовязання по облiгацiям погашено: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дата винекнення :13.04.2009р., непогашена частина боргу"0", вiдсотокок користування коштами (вiдсоток рiчних) 15000000, дата погашення 06.09.2016р. 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</w:p>
    <w:p w:rsidR="00BE1597" w:rsidRDefault="00BE1597" w:rsidP="00BE1597">
      <w:pPr>
        <w:rPr>
          <w:rFonts w:eastAsia="Times New Roman"/>
          <w:color w:val="000000"/>
        </w:rPr>
        <w:sectPr w:rsidR="00BE1597">
          <w:pgSz w:w="11907" w:h="16840" w:orient="landscape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BE1597" w:rsidTr="00BE1597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 | 01 | 01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2110400000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23.32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тис.грн. без десяткового знака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89600,Закарпатська область,м.Мукачево, вул.Валенберга,36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BE1597" w:rsidTr="00BE159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31.12.2017 р.</w:t>
      </w:r>
    </w:p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BE1597" w:rsidTr="00BE159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E1597" w:rsidTr="00BE159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391449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395689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138591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124857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74098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аквізиційні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393246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354327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63122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488652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417449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BE1597" w:rsidTr="00BE159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BE1597" w:rsidTr="00BE159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82418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на виплату джек-поту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294096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488652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417449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6195"/>
      </w:tblGrid>
      <w:tr w:rsidR="00BE1597" w:rsidTr="00BE159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Активи Товариства у на кiнець 2017 року зменшились у порiвняннi з минулим роком на 17 вiдсоткiв.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BE1597" w:rsidTr="00BE1597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 | 01 | 01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2017 р.</w:t>
      </w:r>
    </w:p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BE1597" w:rsidTr="00BE159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198186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176210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( 181982 )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( 151099 )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16204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25111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2715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( 3999 )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( 3798 )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( 2772 )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( 1035 )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( 22422 )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( 21381 )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Витрат від первісного визнання біологічних активів і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1612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13147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( 1037 )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( 1267 )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( 12147 )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1575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-338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1237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BE1597" w:rsidTr="00BE159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1237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BE1597" w:rsidTr="00BE159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40577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595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45698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10025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122602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100175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5"/>
      </w:tblGrid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BE1597" w:rsidTr="00BE159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6195"/>
      </w:tblGrid>
      <w:tr w:rsidR="00BE1597" w:rsidTr="00BE159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Чистий прибуток склав 1031.00 тис.грн.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BE1597" w:rsidRDefault="00BE1597" w:rsidP="00BE1597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BE1597" w:rsidTr="00BE1597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 | 01 | 01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2017 р.</w:t>
      </w:r>
    </w:p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BE1597" w:rsidTr="00BE159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E1597" w:rsidTr="00BE15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222645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193552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7103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( 152756 )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( 139913 )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( 4186 )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( 2777 )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( 1155 )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( 735 )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( 1895 )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( 1348 )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( 153 )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( 68 )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оплату повернення авансів/td&gt;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( 780 )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62704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55247</w:t>
            </w:r>
          </w:p>
        </w:tc>
      </w:tr>
      <w:tr w:rsidR="00BE1597" w:rsidTr="00BE15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7774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( 3245 )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( 7794 )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</w:t>
            </w:r>
          </w:p>
        </w:tc>
      </w:tr>
      <w:tr w:rsidR="00BE1597" w:rsidTr="00BE15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249030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6943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78182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( 1367 )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( 46227 )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( 233938 )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-56147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-920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6195"/>
      </w:tblGrid>
      <w:tr w:rsidR="00BE1597" w:rsidTr="00BE159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Залишок коштiв на кiнець року складає 259.00тис.грн.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  <w:sectPr w:rsidR="00BE1597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BE1597" w:rsidTr="00BE1597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 | 01 | 01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2017 р.</w:t>
      </w:r>
    </w:p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7"/>
        <w:gridCol w:w="1032"/>
        <w:gridCol w:w="1549"/>
        <w:gridCol w:w="1549"/>
        <w:gridCol w:w="1549"/>
        <w:gridCol w:w="1549"/>
      </w:tblGrid>
      <w:tr w:rsidR="00BE1597" w:rsidTr="00BE1597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BE1597" w:rsidTr="00BE15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E1597" w:rsidTr="00BE159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Збільшення (зменшення)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6195"/>
      </w:tblGrid>
      <w:tr w:rsidR="00BE1597" w:rsidTr="00BE159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  <w:sectPr w:rsidR="00BE1597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4392"/>
        <w:gridCol w:w="1952"/>
        <w:gridCol w:w="1464"/>
      </w:tblGrid>
      <w:tr w:rsidR="00BE1597" w:rsidTr="00BE1597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 | 01 | 01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p w:rsidR="00BE1597" w:rsidRDefault="00BE1597" w:rsidP="00BE159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2017 р.</w:t>
      </w:r>
    </w:p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33"/>
        <w:gridCol w:w="547"/>
        <w:gridCol w:w="1270"/>
        <w:gridCol w:w="839"/>
        <w:gridCol w:w="989"/>
        <w:gridCol w:w="873"/>
        <w:gridCol w:w="1279"/>
        <w:gridCol w:w="1092"/>
        <w:gridCol w:w="924"/>
        <w:gridCol w:w="613"/>
      </w:tblGrid>
      <w:tr w:rsidR="00BE1597" w:rsidTr="00BE1597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112029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112029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Вилучення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-3252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</w:tr>
      <w:tr w:rsidR="00BE1597" w:rsidTr="00BE15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113060</w:t>
            </w:r>
          </w:p>
        </w:tc>
      </w:tr>
    </w:tbl>
    <w:p w:rsidR="00BE1597" w:rsidRDefault="00BE1597" w:rsidP="00BE1597">
      <w:pPr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04"/>
        <w:gridCol w:w="5855"/>
      </w:tblGrid>
      <w:tr w:rsidR="00BE1597" w:rsidTr="00BE159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Нерозподiлений прибуток на кiнець року складає 55427.00тис.грн.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BE1597" w:rsidTr="00BE159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597" w:rsidRDefault="00BE159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BE1597" w:rsidRDefault="00BE1597" w:rsidP="00BE1597">
      <w:pPr>
        <w:rPr>
          <w:rFonts w:eastAsia="Times New Roman"/>
        </w:rPr>
      </w:pPr>
    </w:p>
    <w:p w:rsidR="004150D1" w:rsidRDefault="004150D1">
      <w:bookmarkStart w:id="0" w:name="_GoBack"/>
      <w:bookmarkEnd w:id="0"/>
    </w:p>
    <w:sectPr w:rsidR="00415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4F"/>
    <w:rsid w:val="004150D1"/>
    <w:rsid w:val="00B6324F"/>
    <w:rsid w:val="00B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rsid w:val="00BE1597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E1597"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E1597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BE1597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E1597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semiHidden/>
    <w:rsid w:val="00BE1597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uiPriority w:val="99"/>
    <w:semiHidden/>
    <w:rsid w:val="00BE1597"/>
    <w:pPr>
      <w:spacing w:before="100" w:beforeAutospacing="1" w:after="100" w:afterAutospacing="1"/>
    </w:pPr>
  </w:style>
  <w:style w:type="paragraph" w:customStyle="1" w:styleId="right">
    <w:name w:val="right"/>
    <w:basedOn w:val="a"/>
    <w:uiPriority w:val="99"/>
    <w:semiHidden/>
    <w:rsid w:val="00BE1597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uiPriority w:val="99"/>
    <w:semiHidden/>
    <w:rsid w:val="00BE1597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uiPriority w:val="99"/>
    <w:semiHidden/>
    <w:rsid w:val="00BE1597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uiPriority w:val="99"/>
    <w:semiHidden/>
    <w:rsid w:val="00BE1597"/>
    <w:pPr>
      <w:spacing w:before="100" w:beforeAutospacing="1" w:after="100" w:afterAutospacing="1"/>
    </w:pPr>
  </w:style>
  <w:style w:type="paragraph" w:customStyle="1" w:styleId="brdbtm">
    <w:name w:val="brdbtm"/>
    <w:basedOn w:val="a"/>
    <w:uiPriority w:val="99"/>
    <w:semiHidden/>
    <w:rsid w:val="00BE1597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uiPriority w:val="99"/>
    <w:semiHidden/>
    <w:rsid w:val="00BE1597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uiPriority w:val="99"/>
    <w:semiHidden/>
    <w:rsid w:val="00BE15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uiPriority w:val="99"/>
    <w:semiHidden/>
    <w:rsid w:val="00BE1597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uiPriority w:val="99"/>
    <w:semiHidden/>
    <w:rsid w:val="00BE1597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sid w:val="00BE1597"/>
    <w:rPr>
      <w:sz w:val="20"/>
      <w:szCs w:val="20"/>
    </w:rPr>
  </w:style>
  <w:style w:type="character" w:styleId="a4">
    <w:name w:val="Strong"/>
    <w:basedOn w:val="a0"/>
    <w:uiPriority w:val="22"/>
    <w:qFormat/>
    <w:rsid w:val="00BE15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rsid w:val="00BE1597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E1597"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E1597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BE1597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E1597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semiHidden/>
    <w:rsid w:val="00BE1597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uiPriority w:val="99"/>
    <w:semiHidden/>
    <w:rsid w:val="00BE1597"/>
    <w:pPr>
      <w:spacing w:before="100" w:beforeAutospacing="1" w:after="100" w:afterAutospacing="1"/>
    </w:pPr>
  </w:style>
  <w:style w:type="paragraph" w:customStyle="1" w:styleId="right">
    <w:name w:val="right"/>
    <w:basedOn w:val="a"/>
    <w:uiPriority w:val="99"/>
    <w:semiHidden/>
    <w:rsid w:val="00BE1597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uiPriority w:val="99"/>
    <w:semiHidden/>
    <w:rsid w:val="00BE1597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uiPriority w:val="99"/>
    <w:semiHidden/>
    <w:rsid w:val="00BE1597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uiPriority w:val="99"/>
    <w:semiHidden/>
    <w:rsid w:val="00BE1597"/>
    <w:pPr>
      <w:spacing w:before="100" w:beforeAutospacing="1" w:after="100" w:afterAutospacing="1"/>
    </w:pPr>
  </w:style>
  <w:style w:type="paragraph" w:customStyle="1" w:styleId="brdbtm">
    <w:name w:val="brdbtm"/>
    <w:basedOn w:val="a"/>
    <w:uiPriority w:val="99"/>
    <w:semiHidden/>
    <w:rsid w:val="00BE1597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uiPriority w:val="99"/>
    <w:semiHidden/>
    <w:rsid w:val="00BE1597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uiPriority w:val="99"/>
    <w:semiHidden/>
    <w:rsid w:val="00BE15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uiPriority w:val="99"/>
    <w:semiHidden/>
    <w:rsid w:val="00BE1597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uiPriority w:val="99"/>
    <w:semiHidden/>
    <w:rsid w:val="00BE1597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sid w:val="00BE1597"/>
    <w:rPr>
      <w:sz w:val="20"/>
      <w:szCs w:val="20"/>
    </w:rPr>
  </w:style>
  <w:style w:type="character" w:styleId="a4">
    <w:name w:val="Strong"/>
    <w:basedOn w:val="a0"/>
    <w:uiPriority w:val="22"/>
    <w:qFormat/>
    <w:rsid w:val="00BE1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25319</Words>
  <Characters>14432</Characters>
  <Application>Microsoft Office Word</Application>
  <DocSecurity>0</DocSecurity>
  <Lines>120</Lines>
  <Paragraphs>79</Paragraphs>
  <ScaleCrop>false</ScaleCrop>
  <Company>SPecialiST RePack</Company>
  <LinksUpToDate>false</LinksUpToDate>
  <CharactersWithSpaces>39672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2018-04-23T09:08:00Z</dcterms:created>
  <dcterms:modified xsi:type="dcterms:W3CDTF">2018-04-23T09:08:00Z</dcterms:modified>
</cp:coreProperties>
</file>